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2021 178 vom 10. Mai 2022</w:t>
      </w:r>
    </w:p>
    <w:p>
      <w:r>
        <w:t>SZ Gerichte, 2022-05-10, DE</w:t>
      </w:r>
    </w:p>
    <w:p>
      <w:r>
        <w:rPr>
          <w:b/>
        </w:rPr>
        <w:t xml:space="preserve">Quelle: </w:t>
      </w:r>
      <w:r>
        <w:t>https://mcp.opencaselaw.ch/entscheid/sz_gerichte_BEK 2021 178</w:t>
      </w:r>
    </w:p>
    <w:p>
      <w:r>
        <w:t>FR: SZ_GERICHTE BEK 2021 178 du 10 mai 2022</w:t>
      </w:r>
    </w:p>
    <w:p>
      <w:r>
        <w:t>IT: SZ_GERICHTE BEK 2021 178 del 10 maggio 2022</w:t>
      </w:r>
    </w:p>
    <w:p>
      <w:pPr>
        <w:pStyle w:val="Heading2"/>
      </w:pPr>
      <w:r>
        <w:t>Regeste</w:t>
      </w:r>
    </w:p>
    <w:p>
      <w:r>
        <w:t>Einstellung Strafverfahren | Staatsanwaltschaft</w:t>
      </w:r>
    </w:p>
    <w:p>
      <w:pPr>
        <w:pStyle w:val="Heading2"/>
      </w:pPr>
      <w:r>
        <w:t>Erwägungen</w:t>
      </w:r>
    </w:p>
    <w:p>
      <w:r>
        <w:rPr>
          <w:b/>
        </w:rPr>
        <w:t>E. 1</w:t>
      </w:r>
    </w:p>
    <w:p>
      <w:r>
        <w:t>C.________, erbeten verteidigt durch Rechtsanwalt D.________,</w:t>
      </w:r>
    </w:p>
    <w:p>
      <w:r>
        <w:rPr>
          <w:b/>
        </w:rPr>
        <w:t>E. 2</w:t>
      </w:r>
    </w:p>
    <w:p>
      <w:r>
        <w:t>Vorab bemerkt sei, dass ein Strafverfahren nicht in Bezug auf einzelne Straftatbestände wie Betrug, ordnungswidrige Führung von Geschäftsbüchern etc., sondern im Sachverhalt einzustellen ist (BEK 2020 31 vom 24. August</w:t>
      </w:r>
    </w:p>
    <w:p>
      <w:r>
        <w:t>Kantonsgericht Schwyz 4 2020 E. 3.a). Im Sinne von Art. 385 Abs. 1 StPO muss der Beschwerdeführer unter Bezugnahme auf die angefochtene Verfügung dennoch nicht nur aufzei- gen, dass und inwiefern die Staatsanwaltschaft den Sachverhalt falsch fest- stellte, sondern auch, weshalb dieser entgegen der Auffassung der Staatsan- waltschaft unter einen Straftatbestand des schweizerischen Rechts fällt (BGer 6B_473/2019 vom 27. Mai 2019 E. 3). Er hat genau anzugeben, welche Gründe einen anderen Entscheid nahelegen (Art. 385 Abs. 1 lit. b i.V.m. Art. 396 Abs. 1 StPO; BGer 6B_721/2018 vom 19. November 2018 E. 2.1 m.H.). Enthält ein Entscheid mehrere selbständige Begründungen, muss sich die Rechtsmittelbegründung grundsätzlich mit allen auseinandersetzen, an- dernfalls ergeht ein Nichteintretensentscheid. Diesfalls ist keine Nachfrist an- zusetzen, weil davon auszugehen ist, dass der Rechtssuchende die übrigen Begründungen akzeptiert (BGer, 6B_613/2015 vom 26. November 2015 E. 3.3.1 m.H.; BEK 2020 166 vom 22. Januar 2021 E. 3 m.H.). Vorliegend wusste der Beschwerdeführer aufgrund der Rechtsmittelbelehrung um das Erfordernis der begründeten Beschwerdeerhebung. Auch ein Laie muss sich innert der Rechtsmittelfrist die Mühe nehmen, in der Beschwerde zumindest kurz anzugeben, was an den Einstellungsverfügungen der Staatsanwaltschaft seiner Ansicht nach falsch ist. Dies ist auch einer Person ohne juristischen Kenntnisse zuzumuten (BGer 6B_866/2020 vom 8. November 2021 E. 3.5.3 = SJZ 4/2022 S. 193 ff.). a) Hinsichtlich des Verdachts der ordnungswidrigen Führung von Ge- schäftsbüchern nach Art. 325 StGB stellte die Staatsanwaltschaft das Verfah- ren wegen Verjährung ein. Hinsichtlich dieser Begründung äussert sich der Beschwerdeführer überhaupt nicht, weshalb insoweit auf seine Beschwerde nicht einzutreten ist. b) Laut angefochtener Verfügung räumte der Beschwerdeführer ein, der Beschuldigte 1 habe ihm keine konkreten Angaben zur Investitionsdauer der J.________ (Bank I) gemacht. Ferner habe der Beschwerdeführer bejaht, den</w:t>
      </w:r>
    </w:p>
    <w:p>
      <w:r>
        <w:t>Kantonsgericht Schwyz 5 Emissionsprospekt des Fonds gelesen zu haben, aus dem ersichtlich sei, dass die Investoren dieses Fonds ihre Investitionen jederzeit zurückziehen könnten (angef. Verfügung S. 4 f.). Mit dieser Begründung, mit der die Staats- anwaltschaft nachvollziehbar ausschloss, dass der Beschwerdeführer über die Langfristigkeit der Investitionen der J.________ (Bank I) getäuscht worden sei, setzt sich die Beschwerde nicht auseinander, weshalb im Sachverhalt des sog. Seed Investors auf diese nicht einzutreten ist. c) Im Rückweisungsbeschluss vom 24. Juli 2018 hielt die Beschwerde- kammer fest, mit dem Beschwerdeführer sei nicht vereinbart worden, dass seine quantitativen Handelsmodelle professionell evaluiert würden. Aus der Aktenlage gehe indes nicht hervor, ob die Beschuldigten den Erwerb der Mo- delle des Beschwerdeführers dem Vertrag entsprechend in Betracht gezogen hätten (BEK 2017 191 E. 3.a/bb). Die Staatsanwaltschaft legt in der angefoch- tenen Verfügung dar, dass gemäss einer Zeugenaussage der Beschwerdefüh- rer nach seiner Anstellung um die Beschreibung seiner Modelle gebeten wur- de, deren Erwerb dann aber an Meinungsverschiedenheiten über die Art und Weise ihrer Evaluation scheiterte (angef. Verfügung S. 6). Mit der Bestreitung, sich geweigert zu haben, weitergehende Unterlagen zur Beurteilung seiner Modelle herauszugeben, macht der Beschwerdeführer in der Beschwerde zugleich klar, dass er dazu nur unter der Bedingung einer von ihm verlangten professionellen Evaluation bereit war. Damit vermag er jedoch nicht darzutun, dass die Schlussfolgerung der Staatsanwaltschaft, unter diesen Umständen könnten keine Täuschungshandlungen der Beschuldigten im Zeitpunkt des Aktienkaufs und seiner Anstellung bewiesen werden, falsch wäre, namentlich nicht ansatzweise darzutun, dass die Beschuldigten von Vornherein beabsich- tigten, seine Modelle überhaupt nicht zu berücksichtigen. Deshalb ist auch bezüglich dieses Sachverhaltes auf die Beschwerde nicht einzutreten. d) Die Vorwürfe des Beschwerdeführers, wonach er darüber getäuscht worden sei, dass der Beschuldigte 1 bei der H.________ AG nur ein limitiertes</w:t>
      </w:r>
    </w:p>
    <w:p>
      <w:r>
        <w:t>Kantonsgericht Schwyz 6 Arbeitspensum erfülle und mit dem Beschuldigten 2 kein Angestelltenverhält- nis bestehe, betrachtet die Staatsanwaltschaft gestützt auf die Angaben von Zeugen als widerlegt (angef. Verfügung S. 6 f.). Den Beschuldigten könne aufgrund der Formulierung des Agreements, wonach der Beschwerdeführer den gleichen Grundlohn wie sie erhalte, ohnehin nicht unterstellt werden, über deren effektiven Pensa getäuscht zu haben (ebd. S. 7). Inwiefern die Zeugen- aussagen unglaubhaft sein sollen, lässt sich den Ausführungen der Be- schwerde nicht nachvollziehbar entnehmen. Insbesondere aber bestreitet der Beschwerdeführer die alternative, sinngemässe Begründung nicht, die Abma- chung, dass er den gleichen Grundlohn erhalte, beinhalte keine täuschende Zusicherung, wieviel die Beschuldigten effektiv arbeiten würden. Der Be- schwerde lassen sich keine dieser Begründung entgegenstehenden Angaben entnehmen, namentlich nicht dazu, wann und wie der Beschwerdeführer über Arbeitspensa der Beschuldigten in strafbarer Weise getäuscht worden wäre. Auf die Beschwerde ist mithin auch bezüglich der behaupteten Täuschungen über die Arbeitspensa der Beschuldigten nicht einzutreten.</w:t>
      </w:r>
    </w:p>
    <w:p>
      <w:r>
        <w:rPr>
          <w:b/>
        </w:rPr>
        <w:t>E. 3</w:t>
      </w:r>
    </w:p>
    <w:p>
      <w:r>
        <w:t>Mithin ist auf die Beschwerde vollumfänglich nicht einzutreten. Obwohl die Beschwerde eine Begründung enthält und klar ist, was der Beschwerde- führer will, enthält seine Eingabe keine hinreichende Auseinandersetzung mit den Erwägungen der Vorinstanz. Abgesehen davon ist in der Sache festzu- stellen, dass der Beschwerdeführer sich betrogen wähnt, weil er in der Erwar- tung in ein durch den Seed Investor J.________ (Bank I) finanziell abgesicher- tes und durch effiziente Arbeit der Beschuldigten gefördertes Unternehmen Geld und Arbeit investierte, um seine Modelle gewinnbringend einzusetzen. Die Staatsanwaltschaft begründet in den angefochtenen Einstellungsverfü- gungen nachvollziehbar, dass ihre teilweise auf Weisungen der Beschwerde- kammer hin vorgenommenen Untersuchungen keine solche Erwartungen des Beschwerdeführers rechtfertigende, täuschende Versprechen oder später ent- täuschendes Verhalten der Beschuldigten aufdeckten. Weder ist erstellt, dass die Beschuldigten dem Beschwerdeführer verheimlichten, dass der Seed In-</w:t>
      </w:r>
    </w:p>
    <w:p>
      <w:r>
        <w:t>Kantonsgericht Schwyz 7 vestor seine Fondsbeteiligung jederzeit zurückziehen könnte (dazu U- act. 14.2.005 S. 2), noch garantierten sie ihm ihren effektiven Arbeitseinsatz und den Einbezug seiner Modelle in den Investmentprozess des Unterneh- mens (dazu ebd. i.V.m. U-act. 10.1.003 Nr. 14). Abgesehen davon lässt sich der Einvernahme eines seitens der J.________ (Bank I) in die Fondsbeteili- gung Involvierten keine Anhaltspunkte dafür entnehmen, dass ein konkretes Fehlverhalten oder mangelhafter Arbeitseinsatz der Beschuldigten für den Ausstieg des Seed Investors bei der H.________ AG verantwortlich war (U- act. 10.1.008). Andere Angestellte bei der H.________ AG attestieren denn auch den Beschuldigten normal bzw. engagiert gearbeitet zu haben (U- act. 10.1.004 Nr. 20 ff. und 25 ff.; U-act. 10.1.005 Nr. 14, 16 ff. und 27 ff.; vgl. auch U-act. 14.2.005 S. 2 i.V.m. U-act. 10.1.003 Nr. 15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